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ind w:left="720" w:firstLine="0"/>
        <w:jc w:val="center"/>
        <w:rPr>
          <w:rFonts w:ascii="Montserrat" w:cs="Montserrat" w:eastAsia="Montserrat" w:hAnsi="Montserrat"/>
          <w:b w:val="1"/>
          <w:color w:val="ff6600"/>
          <w:sz w:val="38"/>
          <w:szCs w:val="3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38"/>
          <w:szCs w:val="38"/>
          <w:highlight w:val="white"/>
          <w:rtl w:val="0"/>
        </w:rPr>
        <w:t xml:space="preserve">E</w:t>
      </w: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38"/>
          <w:szCs w:val="38"/>
          <w:highlight w:val="white"/>
          <w:rtl w:val="0"/>
        </w:rPr>
        <w:t xml:space="preserve">l veloz crecimiento del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f6600"/>
          <w:sz w:val="38"/>
          <w:szCs w:val="38"/>
          <w:highlight w:val="white"/>
          <w:rtl w:val="0"/>
        </w:rPr>
        <w:t xml:space="preserve">e-commerce</w:t>
      </w: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38"/>
          <w:szCs w:val="38"/>
          <w:highlight w:val="white"/>
          <w:rtl w:val="0"/>
        </w:rPr>
        <w:t xml:space="preserve"> mexicano </w:t>
      </w: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38"/>
          <w:szCs w:val="38"/>
          <w:highlight w:val="white"/>
          <w:rtl w:val="0"/>
        </w:rPr>
        <w:t xml:space="preserve">e</w:t>
      </w: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38"/>
          <w:szCs w:val="38"/>
          <w:highlight w:val="white"/>
          <w:rtl w:val="0"/>
        </w:rPr>
        <w:t xml:space="preserve">nfrenta un gran reto: la ciberseguridad 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ind w:left="0" w:firstLine="0"/>
        <w:jc w:val="left"/>
        <w:rPr>
          <w:rFonts w:ascii="Montserrat" w:cs="Montserrat" w:eastAsia="Montserrat" w:hAnsi="Montserrat"/>
          <w:b w:val="1"/>
          <w:color w:val="ff6600"/>
          <w:sz w:val="38"/>
          <w:szCs w:val="3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i w:val="1"/>
          <w:color w:val="666666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666666"/>
          <w:highlight w:val="white"/>
          <w:rtl w:val="0"/>
        </w:rPr>
        <w:t xml:space="preserve">El boom</w:t>
      </w:r>
      <w:r w:rsidDel="00000000" w:rsidR="00000000" w:rsidRPr="00000000">
        <w:rPr>
          <w:rFonts w:ascii="Montserrat" w:cs="Montserrat" w:eastAsia="Montserrat" w:hAnsi="Montserrat"/>
          <w:i w:val="1"/>
          <w:color w:val="666666"/>
          <w:highlight w:val="white"/>
          <w:rtl w:val="0"/>
        </w:rPr>
        <w:t xml:space="preserve"> financiero del e-commerce </w:t>
      </w:r>
      <w:r w:rsidDel="00000000" w:rsidR="00000000" w:rsidRPr="00000000">
        <w:rPr>
          <w:rFonts w:ascii="Montserrat" w:cs="Montserrat" w:eastAsia="Montserrat" w:hAnsi="Montserrat"/>
          <w:i w:val="1"/>
          <w:color w:val="666666"/>
          <w:highlight w:val="white"/>
          <w:rtl w:val="0"/>
        </w:rPr>
        <w:t xml:space="preserve">es un llamado de alerta para empresas en materia de ciberseguridad.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i w:val="1"/>
          <w:color w:val="666666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666666"/>
          <w:highlight w:val="white"/>
          <w:rtl w:val="0"/>
        </w:rPr>
        <w:t xml:space="preserve">El robo de datos es una de las amenazas que los comercios digitales deberán anticiparse en favor de los consumidores. 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rFonts w:ascii="Montserrat" w:cs="Montserrat" w:eastAsia="Montserrat" w:hAnsi="Montserrat"/>
          <w:i w:val="1"/>
          <w:color w:val="66666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Ciudad de México, 14 de octubre de 2021.-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El confinamiento derivado por la pandemia del COVID-19 dio pie a una era sin precedentes para el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comercio electrónico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Sólo en México, las </w:t>
      </w:r>
      <w:hyperlink r:id="rId6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ventas en línea experimentaron un crecimiento del 80%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de acuerdo a la Asociación de Ventas Online.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Pero este éxito no pasará desapercibido para los cibercriminales.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“Las páginas de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e-commerce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serán un objetivo visible para los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delincuentes cibernéticos 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será vital contar con un plan estratégico de prevención. Éste debe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contemplar una plataforma de procesamiento de pagos con altos estándares de seguridad, ya que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será uno de los mejores escudos ante cualquier eventualidad”, señala Sergio Villarruel,  General Manager de Fiserv México, líder mundial en tecnología financiera y de pagos.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La primera línea de defensa 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La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ciberseguridad es uno de los primeros desafíos que las compañías enfrentan cuando eligen al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highlight w:val="white"/>
          <w:rtl w:val="0"/>
        </w:rPr>
        <w:t xml:space="preserve"> e-commerce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 como modelo de negocio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integrado o adicional. Cuanto más compran las personas y más datos sensibles circulan en la red, más campo de acción hay para que los hackers comentan delitos como robo de información, suplantación de identidad o duplicidad de páginas web. 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El consumidor confía en que sus datos, como contraseñas y perfil bancario estarán resguardados por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las empresas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con quienes realizan sus compras. Mientras que el riesgo para la compañía es que una sola vulneración repercute en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su reputación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y recuperar la confianza del cliente tomaría muchos años.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Una organización debe trabajar para mantener su patrimonio, empleados y clientes a salvo de cualquier peligro.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Un claro ejemplo de ello es que  el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60% de los líderes de negocio en México aumentaría sus inversiones en ciberseguridad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en 2021, de acuerdo con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la firma de consultoría PwC.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 la vez que en América Latina, las PYMES y compañías de gran tamaño aumentaron respectivamente en 7% y 8% sus presupuestos de seguridad informática de golpe de 2019 a 2020. Así lo revela Kaspersky, firma de software en ciberseguridad, en el informe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IT security economics 2020: executive summary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Seguro hoy, seguro mañana </w:t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Omega García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reitera que cada vez será más común que los consumidores paguen vía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online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, como se evidencia en el </w:t>
      </w:r>
      <w:hyperlink r:id="rId9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17° Estudio sobre los Hábitos de los Usuarios de Internet en México 2021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, en donde señala que un 54% de los mexicanos ya prefieren hacer compras por internet.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“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Después de que una compañía adquiere Gateway, nuestra solución de pagos para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e-commerce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su preocupación inicial siempre es la seguridad. Por ello brindamos certificaciones bajo estándares PCI-DSS, y herramientas de prevención de contra cargos, multas o comisiones relacionadas con fraude de terceros que cuenta con con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distintos filtros de confirmación de identidad como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tokenización, preguntas secretas y confirmación vía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SMS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, entre otras.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”, agregó el directivo de Fiserv.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La tendencia de contar con pagos digitales seguros en sitios de comercio electrónico continuará en crecimiento. Aunado a ello, al disponer de un aliado que brinde protección a los datos proporcionados por los trabajadores y clientes,  las empresas podrán estar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preparadas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para  evitar pérdidas para ellos  y cuidar de su reputación como un comercio que prioriza un entorno seguro de compras.   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jc w:val="center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*****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Acerca de Fiserv</w:t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Fiserv, Inc. (NASDAQ: FISV) Empresa líder mundial en tecnología financiera y de pagos, la empresa ayuda a sus clientes a lograr los mejores resultados de su industria mediante un compromiso con la innovación y la excelencia en áreas como el procesamiento de cuentas y soluciones de banca digital, procesamiento y emisor de tarjetas, servicios de red, pagos, comercio electrónico, adquirencia y procesamiento de pagos para comercios y empresas, Fiserv es miembro del Índice S&amp;P 500® y figura entre las empresas más admiradas del mundo por la revista FORTUNE®.</w:t>
      </w:r>
      <w:r w:rsidDel="00000000" w:rsidR="00000000" w:rsidRPr="00000000">
        <w:rPr>
          <w:rFonts w:ascii="Trebuchet MS" w:cs="Trebuchet MS" w:eastAsia="Trebuchet MS" w:hAnsi="Trebuchet MS"/>
          <w:color w:val="465a62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Visite:</w:t>
      </w:r>
      <w:r w:rsidDel="00000000" w:rsidR="00000000" w:rsidRPr="00000000">
        <w:rPr>
          <w:rFonts w:ascii="Trebuchet MS" w:cs="Trebuchet MS" w:eastAsia="Trebuchet MS" w:hAnsi="Trebuchet MS"/>
          <w:color w:val="465a62"/>
          <w:sz w:val="21"/>
          <w:szCs w:val="21"/>
          <w:highlight w:val="white"/>
          <w:rtl w:val="0"/>
        </w:rPr>
        <w:t xml:space="preserve">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https://merchants.fiserv.com/es-mx</w:t>
        </w:r>
      </w:hyperlink>
      <w:r w:rsidDel="00000000" w:rsidR="00000000" w:rsidRPr="00000000">
        <w:rPr>
          <w:rFonts w:ascii="Trebuchet MS" w:cs="Trebuchet MS" w:eastAsia="Trebuchet MS" w:hAnsi="Trebuchet MS"/>
          <w:color w:val="465a62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y siga en los medios sociales para obtener más información y las últimas noticias de la empresa.</w:t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Facebook: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Instagram: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Youtube: 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Página web:</w:t>
      </w: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highlight w:val="white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Contacto: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EJECUTIVO DE CUENTA</w:t>
        <w:tab/>
        <w:tab/>
        <w:tab/>
        <w:tab/>
        <w:t xml:space="preserve"> </w:t>
      </w:r>
    </w:p>
    <w:p w:rsidR="00000000" w:rsidDel="00000000" w:rsidP="00000000" w:rsidRDefault="00000000" w:rsidRPr="00000000" w14:paraId="0000002A">
      <w:pPr>
        <w:pageBreakBefore w:val="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Valeria Baca</w:t>
      </w:r>
    </w:p>
    <w:p w:rsidR="00000000" w:rsidDel="00000000" w:rsidP="00000000" w:rsidRDefault="00000000" w:rsidRPr="00000000" w14:paraId="0000002B">
      <w:pPr>
        <w:pageBreakBefore w:val="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another</w:t>
      </w:r>
    </w:p>
    <w:p w:rsidR="00000000" w:rsidDel="00000000" w:rsidP="00000000" w:rsidRDefault="00000000" w:rsidRPr="00000000" w14:paraId="0000002C">
      <w:pPr>
        <w:pageBreakBefore w:val="0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hyperlink r:id="rId15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valeria.baca@another.co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both"/>
        <w:rPr>
          <w:rFonts w:ascii="Montserrat" w:cs="Montserrat" w:eastAsia="Montserrat" w:hAnsi="Montserrat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1155cc"/>
          <w:sz w:val="18"/>
          <w:szCs w:val="18"/>
          <w:u w:val="single"/>
          <w:rtl w:val="0"/>
        </w:rPr>
        <w:t xml:space="preserve">55 1228 0243</w:t>
      </w:r>
    </w:p>
    <w:p w:rsidR="00000000" w:rsidDel="00000000" w:rsidP="00000000" w:rsidRDefault="00000000" w:rsidRPr="00000000" w14:paraId="0000002E">
      <w:pPr>
        <w:pageBreakBefore w:val="0"/>
        <w:jc w:val="both"/>
        <w:rPr>
          <w:rFonts w:ascii="Montserrat" w:cs="Montserrat" w:eastAsia="Montserrat" w:hAnsi="Montserrat"/>
          <w:color w:val="1155c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ASISTENTE DE CUENTA</w:t>
      </w:r>
    </w:p>
    <w:p w:rsidR="00000000" w:rsidDel="00000000" w:rsidP="00000000" w:rsidRDefault="00000000" w:rsidRPr="00000000" w14:paraId="00000031">
      <w:pPr>
        <w:pageBreakBefore w:val="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Linda Albarrán</w:t>
      </w:r>
    </w:p>
    <w:p w:rsidR="00000000" w:rsidDel="00000000" w:rsidP="00000000" w:rsidRDefault="00000000" w:rsidRPr="00000000" w14:paraId="00000032">
      <w:pPr>
        <w:pageBreakBefore w:val="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another</w:t>
      </w:r>
    </w:p>
    <w:p w:rsidR="00000000" w:rsidDel="00000000" w:rsidP="00000000" w:rsidRDefault="00000000" w:rsidRPr="00000000" w14:paraId="00000033">
      <w:pPr>
        <w:pageBreakBefore w:val="0"/>
        <w:jc w:val="both"/>
        <w:rPr>
          <w:rFonts w:ascii="Montserrat" w:cs="Montserrat" w:eastAsia="Montserrat" w:hAnsi="Montserrat"/>
          <w:sz w:val="18"/>
          <w:szCs w:val="18"/>
        </w:rPr>
      </w:pPr>
      <w:hyperlink r:id="rId16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linda.albarran@another.co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both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55 2132 1908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tabs>
        <w:tab w:val="center" w:pos="4419"/>
        <w:tab w:val="right" w:pos="8838"/>
        <w:tab w:val="left" w:pos="3450"/>
      </w:tabs>
      <w:spacing w:line="240" w:lineRule="auto"/>
      <w:rPr>
        <w:rFonts w:ascii="Montserrat" w:cs="Montserrat" w:eastAsia="Montserrat" w:hAnsi="Montserrat"/>
        <w:b w:val="1"/>
        <w:color w:val="ff6600"/>
        <w:sz w:val="38"/>
        <w:szCs w:val="38"/>
        <w:highlight w:val="white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697609" cy="875966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09" cy="8759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spacing w:after="160" w:line="259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731200" cy="635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fiservmexico/?epa=SEARCH_BOX" TargetMode="External"/><Relationship Id="rId10" Type="http://schemas.openxmlformats.org/officeDocument/2006/relationships/hyperlink" Target="https://merchants.fiserv.com/es-mx" TargetMode="External"/><Relationship Id="rId13" Type="http://schemas.openxmlformats.org/officeDocument/2006/relationships/hyperlink" Target="https://www.youtube.com/channel/UCoWqenelNyhJZc_fj3M09pg" TargetMode="External"/><Relationship Id="rId12" Type="http://schemas.openxmlformats.org/officeDocument/2006/relationships/hyperlink" Target="https://www.instagram.com/fiservmexic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rp.cdn-website.com/81280eda/files/uploaded/17%C2%B0%20Estudio%20sobre%20los%20Habitos%20de%20los%20Usuarios%20de%20Internet%20en%20Me%CC%81xico%202021%20v15%20Publica.pdf" TargetMode="External"/><Relationship Id="rId15" Type="http://schemas.openxmlformats.org/officeDocument/2006/relationships/hyperlink" Target="mailto:valeria.baca@another.co" TargetMode="External"/><Relationship Id="rId14" Type="http://schemas.openxmlformats.org/officeDocument/2006/relationships/hyperlink" Target="https://merchants.fiserv.com/es-mx/" TargetMode="External"/><Relationship Id="rId17" Type="http://schemas.openxmlformats.org/officeDocument/2006/relationships/header" Target="header1.xml"/><Relationship Id="rId16" Type="http://schemas.openxmlformats.org/officeDocument/2006/relationships/hyperlink" Target="mailto:linda.albarran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mvo.org.mx/estudios/estudio-sobre-venta-online-en-mexico-2021/" TargetMode="External"/><Relationship Id="rId7" Type="http://schemas.openxmlformats.org/officeDocument/2006/relationships/hyperlink" Target="https://www.pwc.com/mx/es/prensa/2020/digital-trust.html" TargetMode="External"/><Relationship Id="rId8" Type="http://schemas.openxmlformats.org/officeDocument/2006/relationships/hyperlink" Target="https://go.kaspersky.com/rs/802-IJN-240/images/Kaspersky_IT%20Security%20Economics%202020_Executive%20Summary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